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>Návrh VZN vyvesený na úradnej tabuli v obci Radatice dňa: 1.12.2022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>VZN nadobúda účinnosť dňa: 1.1.2023</w:t>
      </w:r>
    </w:p>
    <w:p>
      <w:pPr>
        <w:pStyle w:val="Nadpis4"/>
        <w:spacing w:lineRule="atLeast" w:line="300" w:before="450" w:after="60"/>
        <w:jc w:val="center"/>
        <w:rPr>
          <w:rStyle w:val="Strong"/>
          <w:rFonts w:ascii="Times New Roman" w:hAnsi="Times New Roman" w:cs="Times New Roman"/>
          <w:bCs w:val="false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32"/>
          <w:szCs w:val="32"/>
        </w:rPr>
        <w:t>Všeobecne záväzné nariadenie č. 2/2022</w:t>
      </w:r>
      <w:r>
        <w:rPr>
          <w:rFonts w:cs="Times New Roman" w:ascii="Times New Roman" w:hAnsi="Times New Roman"/>
          <w:color w:val="auto"/>
          <w:sz w:val="32"/>
          <w:szCs w:val="32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o určení výšky finančných príspevkov na čiastočnú úhradu nákladov na výchovu a vzdelanie a nákladov spojených so stravovaním v školách a školských zariadeniach, ktorých zriaďovateľom je obec RADATICE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>Obecné zastupiteľstvo v Radaticiach, v súlade s ustanovením </w:t>
      </w:r>
      <w:r>
        <w:rPr>
          <w:rFonts w:eastAsia="" w:eastAsiaTheme="majorEastAsia"/>
        </w:rPr>
        <w:t>§ 6</w:t>
      </w:r>
      <w:r>
        <w:rPr/>
        <w:t> a </w:t>
      </w:r>
      <w:r>
        <w:rPr>
          <w:rFonts w:eastAsia="" w:eastAsiaTheme="majorEastAsia"/>
        </w:rPr>
        <w:t>§ 11 zákona č. 369/1990 Zb.</w:t>
      </w:r>
      <w:r>
        <w:rPr/>
        <w:t> o obecnom zriadení v znení neskorších predpisov a v súlade s ustanovením </w:t>
      </w:r>
      <w:r>
        <w:rPr>
          <w:rFonts w:eastAsia="" w:eastAsiaTheme="majorEastAsia"/>
        </w:rPr>
        <w:t>§ 6 ods. 24 zákona č. 596/2003 Z. z.</w:t>
      </w:r>
      <w:r>
        <w:rPr/>
        <w:t> o štátnej správe v školstve a školskej samospráve a o zmene a doplnení niektorých zákonov v znení neskorších predpisov a ustanoveniami </w:t>
      </w:r>
      <w:r>
        <w:rPr>
          <w:rFonts w:eastAsia="" w:eastAsiaTheme="majorEastAsia"/>
        </w:rPr>
        <w:t>§ 28</w:t>
      </w:r>
      <w:r>
        <w:rPr/>
        <w:t>, </w:t>
      </w:r>
      <w:r>
        <w:rPr>
          <w:rFonts w:eastAsia="" w:eastAsiaTheme="majorEastAsia"/>
        </w:rPr>
        <w:t>§ 49</w:t>
      </w:r>
      <w:r>
        <w:rPr/>
        <w:t>, </w:t>
      </w:r>
      <w:r>
        <w:rPr>
          <w:rFonts w:eastAsia="" w:eastAsiaTheme="majorEastAsia"/>
        </w:rPr>
        <w:t>§ 114</w:t>
      </w:r>
      <w:r>
        <w:rPr/>
        <w:t>, </w:t>
      </w:r>
      <w:r>
        <w:rPr>
          <w:rFonts w:eastAsia="" w:eastAsiaTheme="majorEastAsia"/>
        </w:rPr>
        <w:t>§ 116</w:t>
      </w:r>
      <w:r>
        <w:rPr/>
        <w:t> a </w:t>
      </w:r>
      <w:r>
        <w:rPr>
          <w:rFonts w:eastAsia="" w:eastAsiaTheme="majorEastAsia"/>
        </w:rPr>
        <w:t>§ 140 zákona č. 245/2008 Z. z.</w:t>
      </w:r>
      <w:r>
        <w:rPr/>
        <w:t> o výchove a vzdelávaní (</w:t>
      </w:r>
      <w:r>
        <w:rPr>
          <w:rFonts w:eastAsia="" w:eastAsiaTheme="majorEastAsia"/>
        </w:rPr>
        <w:t>školský zákon</w:t>
      </w:r>
      <w:r>
        <w:rPr/>
        <w:t>) a o zmene a doplnení niektorých zákonov v znení neskorších predpisov sa uznáša na tomto všeobecne záväznom nariadení: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PRVÁ ČASŤ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ÚVODNÉ USTANOVENIA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1</w:t>
      </w:r>
      <w:r>
        <w:rPr>
          <w:rFonts w:cs="Times New Roman" w:ascii="Times New Roman" w:hAnsi="Times New Roman"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Účel a predmet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>Všeobecne záväzné nariadenie (ďalej len „VZN“) určuje výšku príspevku na čiastočnú úhradu nákladov na výchovu a vzdelávanie a nákladov spojených so stravovaním v školách a školských zariadeniach, ktorých zriaďovateľom je obec Radatice.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2</w:t>
      </w:r>
      <w:r>
        <w:rPr>
          <w:rFonts w:cs="Times New Roman" w:ascii="Times New Roman" w:hAnsi="Times New Roman"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Druhy príspevkov v školách a školských zariadeniach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>V školách a školských zariadeniach v zriaďovateľskej pôsobnosti obce Radatice sa uhrádzajú tieto príspevky na čiastočnú úhradu nákladov na výchovu a vzdelávanie a nákladov spojených so stravovaním (ďalej len „príspevky“):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príspevok za pobyt dieťaťa v materskej škole,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príspevok na čiastočnú úhradu nákladov spojených so stravovaním v zariadení školského stravovania.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DRUHÁ ČASŤ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PRÍSPEVKY V ŠKOLÁCH A ŠKOLSKÝCH ZARIADENIACH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3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Príspevok za pobyt dieťaťa v materskej škole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Autospacing="1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pobyt dieťaťa v materskej škole prispieva zákonný zástupca na čiastočnú úhradu výdavkov materskej školy mesačne na jedno dieťa sumou </w:t>
      </w:r>
      <w:r>
        <w:rPr>
          <w:rFonts w:cs="Times New Roman" w:ascii="Times New Roman" w:hAnsi="Times New Roman"/>
          <w:b/>
          <w:sz w:val="24"/>
          <w:szCs w:val="24"/>
        </w:rPr>
        <w:t>10,00 €.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Príspevok sa uhrádza vopred do 10. dňa v kalendárnom mesiaci.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Autospacing="1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 je dieťa prijaté do materskej školy v priebehu školského roka, za prvý mesiac dochádzky sa príspevok uhrádza vždy do troch pracovných dní odo dňa, v ktorom bolo zákonnému zástupcovi doručené rozhodnutie o prijatí dieťaťa do materskej školy.</w:t>
        <w:br/>
        <w:t> 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4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Výška, termín a spôsob úhrady príspevku za pobyt dieťaťa v materskej škole v období obmedzenej alebo prerušenej prevádzky cez letné prázdniny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Autospacing="1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Príspevok v materskej škole sa neuhrádza za dieťa, ktoré má prerušenú dochádzku do materskej školy na viac ako 30 po sebe nasledujúcich kalendárnych dní z dôvodu choroby alebo rodinných dôvodov preukázateľným spôsobom.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Preukázateľný spôsob je predloženie potvrdenia od lekára (ak je dôvodom choroba) a čestné vyhlásenie zákonného zástupcu o rodinných dôvodoch prerušenia dochádzky do materskej školy.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Autospacing="1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Príspevok v materskej škole sa neuhrádza za dieťa, ktoré nedochádzalo do materskej školy v čase školských prázdnin, kedy je prerušená prevádzka materskej školy </w:t>
      </w:r>
    </w:p>
    <w:p>
      <w:pPr>
        <w:pStyle w:val="Normal"/>
        <w:spacing w:lineRule="auto" w:line="240" w:beforeAutospacing="1" w:afterAutospacing="1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144" w:afterAutospacing="0" w:after="144"/>
        <w:jc w:val="center"/>
        <w:rPr>
          <w:i/>
          <w:i/>
        </w:rPr>
      </w:pPr>
      <w:r>
        <w:rPr>
          <w:rStyle w:val="Strong"/>
          <w:i/>
        </w:rPr>
        <w:t>§ 5</w:t>
      </w:r>
      <w:r>
        <w:rPr>
          <w:b/>
          <w:bCs/>
          <w:i/>
        </w:rPr>
        <w:br/>
      </w:r>
      <w:r>
        <w:rPr>
          <w:rStyle w:val="Strong"/>
          <w:i/>
        </w:rPr>
        <w:t>Príspevok na čiastočnú úhradu nákladov za stravovanie v zariadení školského stravovania</w:t>
      </w:r>
    </w:p>
    <w:p>
      <w:pPr>
        <w:pStyle w:val="NormalWeb"/>
        <w:numPr>
          <w:ilvl w:val="0"/>
          <w:numId w:val="5"/>
        </w:numPr>
        <w:spacing w:beforeAutospacing="0" w:before="144" w:afterAutospacing="0" w:after="0"/>
        <w:ind w:left="624" w:hanging="340"/>
        <w:jc w:val="both"/>
        <w:rPr/>
      </w:pPr>
      <w:r>
        <w:rPr/>
        <w:t>Zariadenie školského stravovania poskytuje stravovanie deťom a žiakom za čiastočnú úhradu nákladov, ktoré uhrádza zákonný zástupca vo výške nákladov na nákup potravín podľa vekových kategórií stravníkov v súlade s finančnými pásmami nákladov na nákup potravín na jedno jedlo určenými ministerstvom školstva s účinnosťou od 1.1.2023.</w:t>
      </w:r>
    </w:p>
    <w:p>
      <w:pPr>
        <w:pStyle w:val="NormalWeb"/>
        <w:numPr>
          <w:ilvl w:val="0"/>
          <w:numId w:val="5"/>
        </w:numPr>
        <w:spacing w:beforeAutospacing="0" w:before="0" w:afterAutospacing="0" w:after="144"/>
        <w:ind w:left="624" w:hanging="340"/>
        <w:jc w:val="both"/>
        <w:rPr/>
      </w:pPr>
      <w:r>
        <w:rPr/>
        <w:t>Výška príspevku je nasledovná: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 xml:space="preserve">Tabuľka č. 1 – Finančné pásma A – Materská škola – deti od 2 do 6 rokov – 3. pásmo 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tbl>
      <w:tblPr>
        <w:tblW w:w="5000" w:type="pct"/>
        <w:jc w:val="left"/>
        <w:tblInd w:w="7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2319"/>
        <w:gridCol w:w="1244"/>
        <w:gridCol w:w="1244"/>
        <w:gridCol w:w="1244"/>
        <w:gridCol w:w="1332"/>
        <w:gridCol w:w="1686"/>
      </w:tblGrid>
      <w:tr>
        <w:trPr>
          <w:trHeight w:val="1700" w:hRule="atLeast"/>
        </w:trPr>
        <w:tc>
          <w:tcPr>
            <w:tcW w:w="23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rPr/>
            </w:pPr>
            <w:r>
              <w:rPr/>
              <w:t>Stravník – dieťa v MŠ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1 desiata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1 obed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1 olovrant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Celodenná strava</w:t>
            </w:r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Platba zákonného zástupcu za 1 deň</w:t>
            </w:r>
          </w:p>
        </w:tc>
      </w:tr>
      <w:tr>
        <w:trPr>
          <w:trHeight w:val="527" w:hRule="atLeast"/>
        </w:trPr>
        <w:tc>
          <w:tcPr>
            <w:tcW w:w="231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</w:tr>
      <w:tr>
        <w:trPr>
          <w:trHeight w:val="879" w:hRule="atLeast"/>
        </w:trPr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rPr/>
            </w:pPr>
            <w:r>
              <w:rPr/>
              <w:t>Stravníci od 2 – 6 rokov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2,10</w:t>
            </w:r>
          </w:p>
        </w:tc>
      </w:tr>
    </w:tbl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> </w:t>
      </w:r>
      <w:r>
        <w:rPr/>
        <w:t xml:space="preserve">Tabuľka č. 2 – Finančné pásma A – Základná škola – 3. pásmo </w:t>
      </w:r>
    </w:p>
    <w:tbl>
      <w:tblPr>
        <w:tblW w:w="5000" w:type="pct"/>
        <w:jc w:val="left"/>
        <w:tblInd w:w="7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3023"/>
        <w:gridCol w:w="3021"/>
        <w:gridCol w:w="3026"/>
      </w:tblGrid>
      <w:tr>
        <w:trPr>
          <w:trHeight w:val="1068" w:hRule="atLeast"/>
        </w:trPr>
        <w:tc>
          <w:tcPr>
            <w:tcW w:w="30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rPr/>
            </w:pPr>
            <w:r>
              <w:rPr/>
              <w:t>Stravník – žiak v ZŠ</w:t>
            </w: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1 obed</w:t>
            </w:r>
          </w:p>
        </w:tc>
        <w:tc>
          <w:tcPr>
            <w:tcW w:w="3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Platba zákonného zástupcu za 1 deň</w:t>
            </w:r>
          </w:p>
        </w:tc>
      </w:tr>
      <w:tr>
        <w:trPr>
          <w:trHeight w:val="562" w:hRule="atLeast"/>
        </w:trPr>
        <w:tc>
          <w:tcPr>
            <w:tcW w:w="302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  <w:tc>
          <w:tcPr>
            <w:tcW w:w="3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</w:tcPr>
          <w:p>
            <w:pPr>
              <w:pStyle w:val="NormalWeb"/>
              <w:widowControl w:val="false"/>
              <w:spacing w:beforeAutospacing="0" w:before="144" w:afterAutospacing="0" w:after="144"/>
              <w:jc w:val="center"/>
              <w:rPr/>
            </w:pPr>
            <w:r>
              <w:rPr/>
              <w:t>€</w:t>
            </w:r>
          </w:p>
        </w:tc>
      </w:tr>
      <w:tr>
        <w:trPr>
          <w:trHeight w:val="843" w:hRule="atLeast"/>
        </w:trPr>
        <w:tc>
          <w:tcPr>
            <w:tcW w:w="3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rPr/>
            </w:pPr>
            <w:r>
              <w:rPr/>
              <w:t>Stravníci od 6 – 11 rokov</w:t>
            </w: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3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1,70</w:t>
            </w:r>
          </w:p>
        </w:tc>
      </w:tr>
      <w:tr>
        <w:trPr>
          <w:trHeight w:val="843" w:hRule="atLeast"/>
        </w:trPr>
        <w:tc>
          <w:tcPr>
            <w:tcW w:w="3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Web"/>
              <w:widowControl w:val="false"/>
              <w:spacing w:beforeAutospacing="0" w:before="144" w:afterAutospacing="0" w:after="144"/>
              <w:rPr/>
            </w:pPr>
            <w:r>
              <w:rPr/>
              <w:t>Stravníci od 11 – 15 rokov</w:t>
            </w: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3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8F8F8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1,90</w:t>
            </w:r>
          </w:p>
        </w:tc>
      </w:tr>
    </w:tbl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numPr>
          <w:ilvl w:val="0"/>
          <w:numId w:val="5"/>
        </w:numPr>
        <w:spacing w:beforeAutospacing="0" w:before="144" w:afterAutospacing="0" w:after="0"/>
        <w:ind w:left="624" w:hanging="340"/>
        <w:jc w:val="both"/>
        <w:rPr/>
      </w:pPr>
      <w:r>
        <w:rPr>
          <w:iCs/>
        </w:rPr>
        <w:t>Zákonný zástupca dieťaťa navštevujúce základnú školu uhrádza príspevok na režijné náklady zariadenia školského stravovania vo výške 0,10 euro denne.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624" w:hanging="340"/>
        <w:jc w:val="both"/>
        <w:rPr/>
      </w:pPr>
      <w:r>
        <w:rPr/>
        <w:t>Príspevok na čiastočnú úhradu nákladov na stravovanie v zariadení školského stravovania podľa tohto článku sa uhrádza do 20. dňa v mesiaci na príslušný mesiac.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624" w:hanging="340"/>
        <w:jc w:val="both"/>
        <w:rPr/>
      </w:pPr>
      <w:r>
        <w:rPr/>
        <w:t xml:space="preserve">Zákonný zástupca alebo dospelá osoba majú povinnosť príspevok uhradiť spôsobom a za podmienok, ktoré upraví vedúca školskej jedálne interným predpisom, ktorý musí byť zverejnený  v rámci budovy školskej jedálne. </w:t>
      </w:r>
    </w:p>
    <w:p>
      <w:pPr>
        <w:pStyle w:val="NormalWeb"/>
        <w:numPr>
          <w:ilvl w:val="0"/>
          <w:numId w:val="5"/>
        </w:numPr>
        <w:spacing w:beforeAutospacing="0" w:before="0" w:afterAutospacing="0" w:after="144"/>
        <w:jc w:val="both"/>
        <w:rPr>
          <w:color w:val="000000"/>
        </w:rPr>
      </w:pPr>
      <w:r>
        <w:rPr>
          <w:color w:val="000000"/>
        </w:rPr>
        <w:t>Odhlásenie zo stravy je možné najneskôr do 14:00 hod. predchádzajúceho dňa. V prípade nepredvídaných okolností (choroba dieťaťa/žiaka) je možné odhlásenie zo stravy do 8:00 hod. daného dňa na tel. č. 051/7796 221. Na základe odhlásenia sa v nasledujúcom mesiaci odpočíta preplatok stravného.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6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Stravovanie a príspevok dospelých stravníkov v zariadení školského stravovania</w:t>
      </w:r>
    </w:p>
    <w:p>
      <w:pPr>
        <w:pStyle w:val="ListParagraph"/>
        <w:numPr>
          <w:ilvl w:val="0"/>
          <w:numId w:val="4"/>
        </w:numPr>
        <w:tabs>
          <w:tab w:val="clear" w:pos="708"/>
        </w:tabs>
        <w:spacing w:lineRule="auto" w:line="240" w:beforeAutospacing="1" w:after="0"/>
        <w:ind w:left="624" w:hanging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Zriaďovateľ súhlasí so stravovaním dospelej osoby v zariadeniach školského stravovania.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Denný príspevok dospelých stravníkov na nákup potravín sa uhrádza podľa finančného pásma stanoveného MŠ pre vekovú kategóriu stravníkov 15 – 19-ročných žiakov strednej školy – finančné pásmo B – 3. pásmo.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Náklady na nákup potravín na jedno jedlo pre dospelého stravníka sa určujú vo výške 2,40 eur a režijné náklady vo výške 2,90 euro.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Dospelý stravník uhrádza za jedno hlavné jedlo cenu, ktorá sa skladá z príspevku vo výške nákladov na nákup potravín a režijných nákladov. t.j. 5,30 €.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Autospacing="1"/>
        <w:ind w:left="624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Stravovanie zamestnancov sa realizuje v súlade so Zákonníkom práce. Hodnota obeda sa stanovuje na sumu 5,30 eur, pričom zamestnanec prispieva sumou 2,40 eur a zamestnávateľ sumou 2,90 eur.</w:t>
      </w:r>
    </w:p>
    <w:p>
      <w:pPr>
        <w:pStyle w:val="NormalWeb"/>
        <w:spacing w:beforeAutospacing="0" w:before="144" w:afterAutospacing="0" w:after="144"/>
        <w:jc w:val="both"/>
        <w:rPr>
          <w:rStyle w:val="Zdraznenie"/>
        </w:rPr>
      </w:pPr>
      <w:r>
        <w:rPr/>
      </w:r>
    </w:p>
    <w:p>
      <w:pPr>
        <w:pStyle w:val="NormalWeb"/>
        <w:spacing w:beforeAutospacing="0" w:before="144" w:afterAutospacing="0" w:after="144"/>
        <w:jc w:val="center"/>
        <w:rPr/>
      </w:pPr>
      <w:r>
        <w:rPr>
          <w:rStyle w:val="Strong"/>
        </w:rPr>
        <w:t>TRETIA ČASŤ</w:t>
      </w:r>
      <w:r>
        <w:rPr>
          <w:b/>
          <w:bCs/>
        </w:rPr>
        <w:br/>
      </w:r>
      <w:r>
        <w:rPr>
          <w:rStyle w:val="Strong"/>
        </w:rPr>
        <w:t xml:space="preserve"> ZÁVEREČNÉ A ZRUŠOVACIE USTANOVENIA</w:t>
      </w:r>
    </w:p>
    <w:p>
      <w:pPr>
        <w:pStyle w:val="Nadpis4"/>
        <w:spacing w:lineRule="atLeast" w:line="300" w:before="450"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§ 7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auto"/>
          <w:sz w:val="24"/>
          <w:szCs w:val="24"/>
        </w:rPr>
        <w:t>Záverečné ustanovenia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 Toto Všeobecne záväzné nariadenie bolo schválené Obecným zastupiteľstvom v Radaticiach  dňa 16.12.2022. </w:t>
        <w:br/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Dňom účinnosti tohto všeobecného záväzného nariadenia sa zrušuje Všeobecne záväzné nariadenie obce Radatice č. 2/2019 zo dňa 27.7.2019 o určení výšky finančných príspevkov na čiastočnú úhradu nákladov na výchovu a vzdelanie nákladov spojených so stravovaním v školách a školských zariadeniach, ktorých zriaďovateľom je Obec Radatice a dodatok č. 1 k VZN č. 2/2019 zo dňa 31.7.2020.</w:t>
      </w:r>
    </w:p>
    <w:p>
      <w:pPr>
        <w:pStyle w:val="NormalWeb"/>
        <w:spacing w:beforeAutospacing="0" w:before="144" w:afterAutospacing="0" w:after="144"/>
        <w:jc w:val="both"/>
        <w:rPr/>
      </w:pPr>
      <w:r>
        <w:rPr>
          <w:color w:val="000000"/>
        </w:rPr>
        <w:br/>
        <w:t>3. Toto Všeobecne záväzné nariadenie nadobúda účinnosť dňom 1.1.2023.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ab/>
        <w:tab/>
        <w:tab/>
        <w:tab/>
        <w:tab/>
        <w:tab/>
        <w:tab/>
        <w:t>..................................................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                                                                         </w:t>
      </w:r>
      <w:r>
        <w:rPr/>
        <w:t>Mgr. Gabriela Viazanková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 xml:space="preserve">starostka obce 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  <w:t> </w:t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/>
      </w:pPr>
      <w:r>
        <w:rPr/>
      </w:r>
    </w:p>
    <w:p>
      <w:pPr>
        <w:pStyle w:val="NormalWeb"/>
        <w:spacing w:beforeAutospacing="0" w:before="144" w:afterAutospacing="0" w:after="144"/>
        <w:jc w:val="both"/>
        <w:rPr>
          <w:rFonts w:ascii="Arial" w:hAnsi="Arial" w:cs="Arial"/>
          <w:color w:val="282828"/>
          <w:sz w:val="20"/>
          <w:szCs w:val="20"/>
        </w:rPr>
      </w:pPr>
      <w:r>
        <w:rPr>
          <w:rFonts w:cs="Arial" w:ascii="Arial" w:hAnsi="Arial"/>
          <w:color w:val="282828"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0230660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3d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2053df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4Char" w:customStyle="1">
    <w:name w:val="Nadpis 4 Char"/>
    <w:basedOn w:val="DefaultParagraphFont"/>
    <w:link w:val="Nadpis4"/>
    <w:uiPriority w:val="9"/>
    <w:qFormat/>
    <w:rsid w:val="002053df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Zdraznenie">
    <w:name w:val="Zdôraznenie"/>
    <w:basedOn w:val="DefaultParagraphFont"/>
    <w:uiPriority w:val="20"/>
    <w:qFormat/>
    <w:rsid w:val="002053df"/>
    <w:rPr>
      <w:i/>
      <w:iCs/>
    </w:rPr>
  </w:style>
  <w:style w:type="character" w:styleId="Strong">
    <w:name w:val="Strong"/>
    <w:basedOn w:val="DefaultParagraphFont"/>
    <w:uiPriority w:val="22"/>
    <w:qFormat/>
    <w:rsid w:val="002053df"/>
    <w:rPr>
      <w:b/>
      <w:bCs/>
    </w:rPr>
  </w:style>
  <w:style w:type="character" w:styleId="PtaChar" w:customStyle="1">
    <w:name w:val="Päta Char"/>
    <w:basedOn w:val="DefaultParagraphFont"/>
    <w:link w:val="Pta"/>
    <w:uiPriority w:val="99"/>
    <w:qFormat/>
    <w:rsid w:val="002053df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053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2053df"/>
    <w:pPr>
      <w:spacing w:before="0" w:after="160"/>
      <w:ind w:left="720" w:hanging="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Pta">
    <w:name w:val="Footer"/>
    <w:basedOn w:val="Normal"/>
    <w:link w:val="PtaChar"/>
    <w:uiPriority w:val="99"/>
    <w:unhideWhenUsed/>
    <w:rsid w:val="002053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LibreOffice/7.1.0.3$Windows_X86_64 LibreOffice_project/f6099ecf3d29644b5008cc8f48f42f4a40986e4c</Application>
  <AppVersion>15.0000</AppVersion>
  <Pages>4</Pages>
  <Words>939</Words>
  <Characters>5258</Characters>
  <CharactersWithSpaces>6319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2022-11-30T10:51:00Z</dcterms:created>
  <dc:creator>Obec Radatice</dc:creator>
  <dc:description/>
  <dc:language>sk-SK</dc:language>
  <cp:lastModifiedBy/>
  <cp:lastPrinted>2022-12-01T15:53:00Z</cp:lastPrinted>
  <dcterms:modified xsi:type="dcterms:W3CDTF">2023-02-03T10:20:49Z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